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ing1"/>
        <w:numPr>
          <w:ilvl w:val="0"/>
          <w:numId w:val="1"/>
        </w:numPr>
        <w:spacing w:before="240" w:after="120"/>
        <w:ind w:left="0" w:right="0" w:hanging="0"/>
        <w:rPr/>
      </w:pPr>
      <w:r>
        <w:rPr/>
        <w:t>Seminarie 4</w:t>
      </w:r>
    </w:p>
    <w:p>
      <w:pPr>
        <w:pStyle w:val="Heading3"/>
        <w:numPr>
          <w:ilvl w:val="2"/>
          <w:numId w:val="1"/>
        </w:numPr>
        <w:ind w:left="0" w:right="0" w:hanging="0"/>
        <w:rPr/>
      </w:pPr>
      <w:r>
        <w:rPr/>
      </w:r>
    </w:p>
    <w:p>
      <w:pPr>
        <w:pStyle w:val="TextBody"/>
        <w:rPr/>
      </w:pPr>
      <w:r>
        <w:rPr/>
        <w:t xml:space="preserve">NJA 200 s. 321 (NJA 2009:34, Målnummer T3126-07) </w:t>
      </w:r>
    </w:p>
    <w:p>
      <w:pPr>
        <w:pStyle w:val="TextBody"/>
        <w:rPr/>
      </w:pPr>
      <w:r>
        <w:rPr/>
        <w:t xml:space="preserve">Lagrum: 2 kap. 1§, 3§ och 6§, 6 kap 1§ 3§ 4§ 7§ 8§ och 9§, samt 22 kap. 1§, 2§ och 21 § miljöbalken (1998:808). </w:t>
      </w:r>
    </w:p>
    <w:p>
      <w:pPr>
        <w:pStyle w:val="TextBody"/>
        <w:rPr/>
      </w:pPr>
      <w:r>
        <w:rPr/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 xml:space="preserve">Bakgrund: </w:t>
      </w:r>
      <w:r>
        <w:rPr>
          <w:b w:val="false"/>
          <w:bCs w:val="false"/>
        </w:rPr>
        <w:t>Arvika kommun vill att md ska ge tillstånd att:</w:t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</w:rPr>
        <w:tab/>
        <w:t>Anlägga en skyddsdam, två skyddsvallar. Samt stänga skyddsdammen om vattenstndet i Kyrkviken riskerar att stiga för höft. Samt vid stängd skyddsdamm pumpa vatten från kyrkviken till glafsfjorden. Samt provköra pumparna årligen.</w:t>
      </w:r>
    </w:p>
    <w:p>
      <w:pPr>
        <w:pStyle w:val="TextBody"/>
        <w:rPr>
          <w:b w:val="false"/>
          <w:b w:val="false"/>
          <w:bCs w:val="false"/>
        </w:rPr>
      </w:pPr>
      <w:r>
        <w:rPr>
          <w:b/>
          <w:bCs/>
        </w:rPr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</w:rPr>
        <w:t xml:space="preserve">Till bakgrunden hör att Arvika drabbats av översvämningar bla. Hösten 2000. </w:t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</w:rPr>
        <w:t>MB 6:11 pt2 säger att en miljökonsekvensbeskrivning ska innehålla identifiering, beskrivning och bedömning av rimliga alternativ.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>Nackdelar ansökt alternativ:</w:t>
      </w:r>
      <w:r>
        <w:rPr>
          <w:b w:val="false"/>
          <w:bCs w:val="false"/>
        </w:rPr>
        <w:t xml:space="preserve"> Permanent inverkan på landskapsbilden och betydande inverkan på strandfastigheterna vid sundet. </w:t>
      </w:r>
    </w:p>
    <w:p>
      <w:pPr>
        <w:pStyle w:val="TextBody"/>
        <w:rPr>
          <w:b w:val="false"/>
          <w:b w:val="false"/>
          <w:bCs w:val="false"/>
        </w:rPr>
      </w:pPr>
      <w:r>
        <w:rPr>
          <w:b/>
          <w:bCs/>
        </w:rPr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</w:rPr>
        <w:t>Mot det argumenteras bl.a. att det ej är samhällsekonomiskt länsamt  (enl 11 kap 6§ MB)</w:t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</w:rPr>
        <w:t>Alternativa utformningar av skyddsdamm och skyddsvallarna har ej redovisats i ansökan. MD fann att det uppfyller kravet på rimlig hänsyn till motstående intressen och gav kommunen tillståend att anlägga ”åtgärderna”</w:t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</w:rPr>
        <w:t xml:space="preserve">MÖD dömmer enl MD. </w:t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</w:rPr>
        <w:t>HD avgör ej målet som sådant utan om ansökan var godländ enl MB – i annat fall föregicks rättegångsfel.</w:t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</w:rPr>
        <w:t>Dammen medför enl. länsstyrelsen betydande miljöpåverkan.</w:t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</w:rPr>
        <w:t>NJA 2008 s. 748 konstaterade att en godtagbar miljökonsekvensbeskrivning är en preocessöfrutsättning.</w:t>
      </w:r>
    </w:p>
    <w:p>
      <w:pPr>
        <w:pStyle w:val="TextBody"/>
        <w:rPr>
          <w:b w:val="false"/>
          <w:b w:val="false"/>
          <w:bCs w:val="false"/>
        </w:rPr>
      </w:pPr>
      <w:r>
        <w:rPr>
          <w:b/>
          <w:bCs/>
        </w:rPr>
      </w:r>
    </w:p>
    <w:p>
      <w:pPr>
        <w:pStyle w:val="Heading3"/>
        <w:numPr>
          <w:ilvl w:val="2"/>
          <w:numId w:val="1"/>
        </w:numPr>
        <w:ind w:left="0" w:right="0" w:hanging="0"/>
        <w:rPr>
          <w:rFonts w:ascii="kg-icons;Roboto;sans-serif" w:hAnsi="kg-icons;Roboto;sans-serif"/>
          <w:b/>
          <w:b/>
          <w:bCs/>
          <w:i/>
          <w:color w:val="222222"/>
          <w:spacing w:val="0"/>
        </w:rPr>
      </w:pPr>
      <w:r>
        <w:rPr>
          <w:rFonts w:ascii="kg-icons;Roboto;sans-serif" w:hAnsi="kg-icons;Roboto;sans-serif"/>
          <w:b w:val="false"/>
          <w:bCs w:val="false"/>
          <w:i/>
          <w:color w:val="222222"/>
          <w:spacing w:val="0"/>
        </w:rPr>
        <w:t>HD:s avgörande</w:t>
      </w:r>
    </w:p>
    <w:p>
      <w:pPr>
        <w:pStyle w:val="TextBody"/>
        <w:widowControl/>
        <w:spacing w:lineRule="auto" w:line="384" w:before="0" w:after="140"/>
        <w:ind w:left="0" w:right="0" w:hanging="0"/>
        <w:rPr/>
      </w:pPr>
      <w:bookmarkStart w:id="0" w:name="NJA_2009_S_0321_20110518094232_188"/>
      <w:bookmarkEnd w:id="0"/>
      <w:r>
        <w:rPr>
          <w:rFonts w:ascii="kg-icons;Roboto;sans-serif" w:hAnsi="kg-icons;Roboto;sans-serif"/>
          <w:b w:val="false"/>
          <w:i/>
          <w:color w:val="222222"/>
          <w:spacing w:val="0"/>
          <w:sz w:val="23"/>
        </w:rPr>
        <w:t>HD förklarar att den miljökonsekvensbeskrivning som ingår i Arvika kommuns ansökan om tillstånd inte är godtagbar med hänsyn till reglerna i </w:t>
      </w:r>
      <w:hyperlink r:id="rId2">
        <w:r>
          <w:rPr>
            <w:rStyle w:val="InternetLink"/>
            <w:rFonts w:ascii="kg-icons;Roboto;sans-serif" w:hAnsi="kg-icons;Roboto;sans-serif"/>
            <w:b w:val="false"/>
            <w:i/>
            <w:strike w:val="false"/>
            <w:dstrike w:val="false"/>
            <w:color w:val="194A8A"/>
            <w:spacing w:val="0"/>
            <w:sz w:val="23"/>
            <w:u w:val="none"/>
            <w:effect w:val="none"/>
          </w:rPr>
          <w:t>6 kap. 7 § andra stycket</w:t>
        </w:r>
      </w:hyperlink>
      <w:r>
        <w:rPr>
          <w:rFonts w:ascii="kg-icons;Roboto;sans-serif" w:hAnsi="kg-icons;Roboto;sans-serif"/>
          <w:b w:val="false"/>
          <w:i/>
          <w:color w:val="222222"/>
          <w:spacing w:val="0"/>
          <w:sz w:val="23"/>
        </w:rPr>
        <w:t> 4 MB och att domstolarnas prövning av ansökan därmed utgör ett rättegångsfel som bör leda till att deras avgöranden undanröjs.</w:t>
      </w:r>
    </w:p>
    <w:p>
      <w:pPr>
        <w:pStyle w:val="TextBody"/>
        <w:widowControl/>
        <w:spacing w:lineRule="auto" w:line="384" w:before="0" w:after="140"/>
        <w:ind w:left="0" w:right="0" w:hanging="0"/>
        <w:rPr>
          <w:rFonts w:ascii="kg-icons;Roboto;sans-serif" w:hAnsi="kg-icons;Roboto;sans-serif"/>
          <w:b w:val="false"/>
          <w:i/>
          <w:color w:val="222222"/>
          <w:spacing w:val="0"/>
          <w:sz w:val="23"/>
        </w:rPr>
      </w:pPr>
      <w:bookmarkStart w:id="1" w:name="NJA_2009_S_0321_20110518094232_189"/>
      <w:bookmarkEnd w:id="1"/>
      <w:r>
        <w:rPr>
          <w:rFonts w:ascii="kg-icons;Roboto;sans-serif" w:hAnsi="kg-icons;Roboto;sans-serif"/>
          <w:b w:val="false"/>
          <w:i/>
          <w:color w:val="222222"/>
          <w:spacing w:val="0"/>
          <w:sz w:val="23"/>
        </w:rPr>
        <w:t>HD meddelar prövningstillstånd i målet i övrigt.</w:t>
      </w:r>
    </w:p>
    <w:p>
      <w:pPr>
        <w:pStyle w:val="TextBody"/>
        <w:widowControl/>
        <w:spacing w:lineRule="auto" w:line="384" w:before="0" w:after="140"/>
        <w:ind w:left="0" w:right="0" w:hanging="0"/>
        <w:rPr>
          <w:rFonts w:ascii="kg-icons;Roboto;sans-serif" w:hAnsi="kg-icons;Roboto;sans-serif"/>
          <w:b w:val="false"/>
          <w:i/>
          <w:color w:val="222222"/>
          <w:spacing w:val="0"/>
          <w:sz w:val="23"/>
        </w:rPr>
      </w:pPr>
      <w:bookmarkStart w:id="2" w:name="NJA_2009_S_0321_20110518094232_190"/>
      <w:bookmarkEnd w:id="2"/>
      <w:r>
        <w:rPr>
          <w:rFonts w:ascii="kg-icons;Roboto;sans-serif" w:hAnsi="kg-icons;Roboto;sans-serif"/>
          <w:b w:val="false"/>
          <w:i/>
          <w:color w:val="222222"/>
          <w:spacing w:val="0"/>
          <w:sz w:val="23"/>
        </w:rPr>
        <w:t>HD undanröjer Miljööverdomstolens dom samt miljödomstolens deldom utom såvitt avser prövningsavgift, rättegångskostnader och avskrivning (punkterna 12-14) och avvisar Arvika kommuns tillståndsansökan.</w:t>
      </w:r>
    </w:p>
    <w:p>
      <w:pPr>
        <w:pStyle w:val="TextBody"/>
        <w:rPr>
          <w:b w:val="false"/>
          <w:b w:val="false"/>
          <w:bCs w:val="false"/>
        </w:rPr>
      </w:pPr>
      <w:r>
        <w:rPr>
          <w:b/>
          <w:bCs/>
        </w:rPr>
      </w:r>
    </w:p>
    <w:p>
      <w:pPr>
        <w:pStyle w:val="TextBody"/>
        <w:rPr/>
      </w:pPr>
      <w:r>
        <w:rPr/>
      </w:r>
    </w:p>
    <w:p>
      <w:pPr>
        <w:pStyle w:val="Heading3"/>
        <w:numPr>
          <w:ilvl w:val="2"/>
          <w:numId w:val="1"/>
        </w:numPr>
        <w:ind w:left="0" w:right="0" w:hanging="0"/>
        <w:rPr/>
      </w:pPr>
      <w:r>
        <w:rPr/>
        <w:t xml:space="preserve">Uppgift 2: 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 xml:space="preserve">a) </w:t>
      </w:r>
      <w:r>
        <w:rPr>
          <w:b/>
          <w:bCs/>
        </w:rPr>
        <w:t xml:space="preserve">Miljöbedömningar regleras i </w:t>
      </w:r>
      <w:r>
        <w:rPr>
          <w:b w:val="false"/>
          <w:bCs w:val="false"/>
        </w:rPr>
        <w:t>MB 6:1</w:t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</w:rPr>
        <w:tab/>
        <w:t xml:space="preserve">→ </w:t>
      </w:r>
      <w:r>
        <w:rPr>
          <w:b w:val="false"/>
          <w:bCs w:val="false"/>
        </w:rPr>
        <w:t>1st. Säger att kapitelet innehåller Bestämmelser om I</w:t>
      </w:r>
      <w:r>
        <w:rPr>
          <w:b w:val="false"/>
          <w:bCs w:val="false"/>
        </w:rPr>
        <w:t>dentifier</w:t>
      </w:r>
      <w:r>
        <w:rPr>
          <w:b w:val="false"/>
          <w:bCs w:val="false"/>
        </w:rPr>
        <w:t>ing, beskrivning och bedömning</w:t>
      </w:r>
      <w:r>
        <w:rPr>
          <w:b w:val="false"/>
          <w:bCs w:val="false"/>
        </w:rPr>
        <w:t xml:space="preserve"> vid planering av och beslut av </w:t>
      </w:r>
      <w:r>
        <w:rPr>
          <w:b w:val="false"/>
          <w:bCs w:val="false"/>
          <w:u w:val="single"/>
        </w:rPr>
        <w:t>planer</w:t>
      </w:r>
      <w:r>
        <w:rPr>
          <w:b w:val="false"/>
          <w:bCs w:val="false"/>
          <w:u w:val="none"/>
        </w:rPr>
        <w:t xml:space="preserve"> och program. 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  <w:tab/>
        <w:t xml:space="preserve">→ </w:t>
      </w:r>
      <w:r>
        <w:rPr>
          <w:b w:val="false"/>
          <w:bCs w:val="false"/>
          <w:u w:val="none"/>
        </w:rPr>
        <w:t xml:space="preserve">2st. </w:t>
      </w:r>
      <w:r>
        <w:rPr>
          <w:b w:val="false"/>
          <w:bCs w:val="false"/>
          <w:u w:val="none"/>
        </w:rPr>
        <w:t xml:space="preserve">Syftet </w:t>
      </w:r>
      <w:r>
        <w:rPr>
          <w:b w:val="false"/>
          <w:bCs w:val="false"/>
          <w:u w:val="none"/>
        </w:rPr>
        <w:t xml:space="preserve">är </w:t>
      </w:r>
      <w:r>
        <w:rPr>
          <w:b w:val="false"/>
          <w:bCs w:val="false"/>
          <w:u w:val="none"/>
        </w:rPr>
        <w:t xml:space="preserve">att integrera miljöaspekter i planering och beslutsfattande. </w:t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  <w:u w:val="none"/>
        </w:rPr>
        <w:t xml:space="preserve">Enligt </w:t>
      </w:r>
      <w:r>
        <w:rPr>
          <w:b w:val="false"/>
          <w:bCs w:val="false"/>
          <w:u w:val="none"/>
        </w:rPr>
        <w:t>3</w:t>
      </w:r>
      <w:r>
        <w:rPr>
          <w:b w:val="false"/>
          <w:bCs w:val="false"/>
          <w:u w:val="none"/>
        </w:rPr>
        <w:t xml:space="preserve">§ </w:t>
      </w:r>
      <w:r>
        <w:rPr>
          <w:b w:val="false"/>
          <w:bCs w:val="false"/>
          <w:u w:val="none"/>
        </w:rPr>
        <w:t>1st: A</w:t>
      </w:r>
      <w:r>
        <w:rPr>
          <w:b w:val="false"/>
          <w:bCs w:val="false"/>
          <w:u w:val="none"/>
        </w:rPr>
        <w:t>ktuell</w:t>
      </w:r>
      <w:r>
        <w:rPr>
          <w:b w:val="false"/>
          <w:bCs w:val="false"/>
          <w:u w:val="none"/>
        </w:rPr>
        <w:t>t med strategisk miljöbedömning</w:t>
      </w:r>
      <w:r>
        <w:rPr>
          <w:b w:val="false"/>
          <w:bCs w:val="false"/>
          <w:u w:val="none"/>
        </w:rPr>
        <w:t xml:space="preserve"> om planen medför </w:t>
      </w:r>
      <w:r>
        <w:rPr>
          <w:b/>
          <w:bCs/>
          <w:u w:val="none"/>
        </w:rPr>
        <w:t>betydande miljöpåverkan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  <w:t>Enl  5§ Ska myndighet eller kommun som upprättar plan (reglerad enl lag eller författning) undersöka om det antas medföra betydande miljöpåverkan om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  <w:t>1. frågan ej är avgjord i föreskrifter som regeringen har meddelat enl §4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  <w:t xml:space="preserve">2. planen inte omfattas av undantaget i §3 st2. 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</w:r>
    </w:p>
    <w:p>
      <w:pPr>
        <w:pStyle w:val="TextBody"/>
        <w:rPr>
          <w:b/>
          <w:b/>
          <w:bCs/>
        </w:rPr>
      </w:pPr>
      <w:r>
        <w:rPr>
          <w:b/>
          <w:bCs/>
          <w:u w:val="none"/>
        </w:rPr>
        <w:t>M</w:t>
      </w:r>
      <w:r>
        <w:rPr>
          <w:b/>
          <w:bCs/>
          <w:u w:val="none"/>
        </w:rPr>
        <w:t xml:space="preserve">iljöbedömningsförordning (2017:966) 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  <w:tab/>
        <w:t>Innehåller bestämmelser om miljöbedömningar enl 6 kap. MB.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  <w:tab/>
      </w:r>
      <w:r>
        <w:rPr>
          <w:b w:val="false"/>
          <w:bCs w:val="false"/>
          <w:u w:val="none"/>
        </w:rPr>
        <w:t>2§ Listar fall där betydande miljöpåverkan ska antas. (Detaljplan listas ej)</w:t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  <w:u w:val="none"/>
        </w:rPr>
        <w:tab/>
      </w:r>
      <w:r>
        <w:rPr>
          <w:b/>
          <w:bCs/>
          <w:u w:val="none"/>
        </w:rPr>
        <w:t>3 §: Trots 2§ ska frågan om betydande miljöpåverkan avgöras efter en undersökning enl 6 kap. 6  § MB i fråga om 1. detaljplaner enligt plan- och bygglagen: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  <w:u w:val="none"/>
        </w:rPr>
        <w:t xml:space="preserve">MB 6:6 </w:t>
      </w:r>
      <w:r>
        <w:rPr>
          <w:b w:val="false"/>
          <w:bCs w:val="false"/>
          <w:u w:val="none"/>
        </w:rPr>
        <w:t xml:space="preserve">säger att myndigheten och eller kommunen 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  <w:t>1. Identifierar omständigheter som talar för eller mot en betydande miljpåverkan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  <w:t>2. Samråder i frågan om betydande miljöpåverkar med ,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  <w:t>MB 6:7 Efter undersökningen ska kommunen i ett särskilt beslut avgöra om genomförandet av planen, programmet eller ändringen kan antas medföra en betydande miljöpåverkan.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  <w:u w:val="none"/>
        </w:rPr>
        <w:tab/>
      </w:r>
      <w:r>
        <w:rPr>
          <w:b/>
          <w:bCs/>
          <w:u w:val="none"/>
        </w:rPr>
        <w:t xml:space="preserve">Vid bedömningen om betydand miljöpåverkan tas  författningen (2017:996) till hjälp. </w:t>
      </w:r>
    </w:p>
    <w:p>
      <w:pPr>
        <w:pStyle w:val="TextBody"/>
        <w:rPr>
          <w:b/>
          <w:b/>
          <w:bCs/>
          <w:u w:val="none"/>
        </w:rPr>
      </w:pPr>
      <w:r>
        <w:rPr>
          <w:b/>
          <w:bCs/>
          <w:u w:val="none"/>
        </w:rPr>
        <w:t>SVAR: Om det antas att detaljplanen medför en betytande miljöpåverkan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</w:r>
    </w:p>
    <w:p>
      <w:pPr>
        <w:pStyle w:val="TextBody"/>
        <w:rPr>
          <w:b/>
          <w:b/>
          <w:bCs/>
          <w:u w:val="none"/>
        </w:rPr>
      </w:pPr>
      <w:r>
        <w:rPr>
          <w:b/>
          <w:bCs/>
          <w:u w:val="none"/>
        </w:rPr>
        <w:t xml:space="preserve">b)  </w:t>
      </w:r>
      <w:r>
        <w:rPr>
          <w:b/>
          <w:bCs/>
          <w:u w:val="none"/>
        </w:rPr>
        <w:t xml:space="preserve">Regleras i </w:t>
      </w:r>
      <w:r>
        <w:rPr>
          <w:b/>
          <w:bCs/>
          <w:u w:val="none"/>
        </w:rPr>
        <w:t xml:space="preserve">MB 6:9 </w:t>
      </w:r>
    </w:p>
    <w:p>
      <w:pPr>
        <w:pStyle w:val="TextBody"/>
        <w:rPr>
          <w:b/>
          <w:b/>
          <w:bCs/>
        </w:rPr>
      </w:pPr>
      <w:r>
        <w:rPr>
          <w:b/>
          <w:bCs/>
          <w:u w:val="none"/>
        </w:rPr>
        <w:tab/>
        <w:t xml:space="preserve">* </w:t>
      </w:r>
      <w:r>
        <w:rPr>
          <w:b w:val="false"/>
          <w:bCs w:val="false"/>
          <w:u w:val="none"/>
        </w:rPr>
        <w:t xml:space="preserve">En miljökonsekvensbeskrivnig  (MB 6:9 pt 2) </w:t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  <w:u w:val="none"/>
        </w:rPr>
        <w:tab/>
        <w:tab/>
        <w:t xml:space="preserve">Vilken ska innehålla (MB 6:11) </w:t>
      </w:r>
      <w:r>
        <w:rPr>
          <w:b/>
          <w:bCs/>
          <w:u w:val="none"/>
        </w:rPr>
        <w:t xml:space="preserve">(TA FRAM </w:t>
      </w:r>
      <w:r>
        <w:rPr>
          <w:b w:val="false"/>
          <w:bCs w:val="false"/>
          <w:u w:val="none"/>
        </w:rPr>
        <w:t xml:space="preserve">ska läsas tillsammans med §12 rimlighetsbedömning av omfattningen) </w:t>
      </w:r>
      <w:r>
        <w:rPr>
          <w:b/>
          <w:bCs/>
          <w:u w:val="none"/>
        </w:rPr>
        <w:t>)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  <w:tab/>
        <w:tab/>
        <w:t>1. Samanfattning av planen och dess huvudsakliga innehåll.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  <w:t>2. Identifiering, beskrivning och bedömning av riliga alternativ.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  <w:tab/>
        <w:t>3 uppgifter om:</w:t>
        <w:tab/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  <w:tab/>
        <w:tab/>
        <w:t>a) miljöförhållanden och miljöns utv. Om planen ej genomförs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  <w:tab/>
        <w:tab/>
        <w:t>b) miljöförhållanden i de områden som kan påverkas betydligt</w:t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  <w:u w:val="none"/>
        </w:rPr>
        <w:tab/>
        <w:tab/>
        <w:t xml:space="preserve">c) befintliga miljöproble som är relevanta för planen </w:t>
      </w:r>
      <w:r>
        <w:rPr>
          <w:b w:val="false"/>
          <w:bCs w:val="false"/>
          <w:u w:val="none"/>
        </w:rPr>
        <w:t>särskillt de som avses i 7 kap (Skydd av områden)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  <w:t>d) hänsyn till relevanta miljökvalitetsnmål och andra milöhänsyn.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  <w:t>M</w:t>
      </w:r>
      <w:r>
        <w:rPr>
          <w:b w:val="false"/>
          <w:bCs w:val="false"/>
          <w:u w:val="none"/>
        </w:rPr>
        <w:t>B</w:t>
      </w:r>
      <w:r>
        <w:rPr>
          <w:b w:val="false"/>
          <w:bCs w:val="false"/>
          <w:u w:val="none"/>
        </w:rPr>
        <w:t>. §11.</w:t>
      </w:r>
    </w:p>
    <w:p>
      <w:pPr>
        <w:pStyle w:val="TextBody"/>
        <w:rPr>
          <w:b w:val="false"/>
          <w:b w:val="false"/>
          <w:bCs w:val="false"/>
          <w:u w:val="none"/>
        </w:rPr>
      </w:pPr>
      <w:r>
        <w:rPr>
          <w:b w:val="false"/>
          <w:bCs w:val="false"/>
          <w:u w:val="none"/>
        </w:rPr>
      </w:r>
    </w:p>
    <w:p>
      <w:pPr>
        <w:pStyle w:val="Heading1"/>
        <w:numPr>
          <w:ilvl w:val="0"/>
          <w:numId w:val="1"/>
        </w:numPr>
        <w:ind w:left="0" w:right="0" w:hanging="0"/>
        <w:rPr/>
      </w:pPr>
      <w:r>
        <w:rPr/>
        <w:t>Del II Standskydd och bebyggelse: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 xml:space="preserve">b)  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>Strandskyddet regleras enligt: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>MB 7 kap. Skydd av områden</w:t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</w:rPr>
        <w:tab/>
        <w:t xml:space="preserve">§13. </w:t>
      </w:r>
      <w:r>
        <w:rPr>
          <w:b/>
          <w:bCs/>
        </w:rPr>
        <w:t>Strandskyddet gäller vid havet och vid insjöar och vattendrag.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ab/>
      </w:r>
      <w:r>
        <w:rPr>
          <w:b w:val="false"/>
          <w:bCs w:val="false"/>
        </w:rPr>
        <w:t xml:space="preserve">§14 Omfattar land och vattenområden intill 100 meter från strandlinjen. 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ab/>
        <w:t>§15 Inom strandskyddet gäller Nya byggnader uppföras.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 xml:space="preserve">Så strandskydd råder och uppförande är förbjuden enligt </w:t>
      </w:r>
      <w:r>
        <w:rPr>
          <w:b/>
          <w:bCs/>
        </w:rPr>
        <w:t>MB 7:15.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ab/>
      </w:r>
      <w:r>
        <w:rPr>
          <w:b/>
          <w:bCs/>
        </w:rPr>
        <w:t>Men:</w:t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</w:rPr>
        <w:t xml:space="preserve">Enligt </w:t>
      </w:r>
      <w:r>
        <w:rPr>
          <w:b/>
          <w:bCs/>
        </w:rPr>
        <w:tab/>
      </w:r>
      <w:r>
        <w:rPr>
          <w:b/>
          <w:bCs/>
        </w:rPr>
        <w:t xml:space="preserve">§18b  </w:t>
      </w:r>
      <w:r>
        <w:rPr>
          <w:b w:val="false"/>
          <w:bCs w:val="false"/>
        </w:rPr>
        <w:t>kan</w:t>
      </w:r>
      <w:r>
        <w:rPr>
          <w:b w:val="false"/>
          <w:bCs w:val="false"/>
        </w:rPr>
        <w:t xml:space="preserve"> </w:t>
      </w:r>
      <w:r>
        <w:rPr>
          <w:b w:val="false"/>
          <w:bCs w:val="false"/>
        </w:rPr>
        <w:t>d</w:t>
      </w:r>
      <w:r>
        <w:rPr>
          <w:b w:val="false"/>
          <w:bCs w:val="false"/>
        </w:rPr>
        <w:t xml:space="preserve">ispens kan sökas från kommunen. </w:t>
      </w:r>
      <w:r>
        <w:rPr>
          <w:b w:val="false"/>
          <w:bCs w:val="false"/>
        </w:rPr>
        <w:t>Särskilda skäl måste uppfyllas:</w:t>
      </w:r>
      <w:r>
        <w:rPr>
          <w:b w:val="false"/>
          <w:bCs w:val="false"/>
        </w:rPr>
        <w:t xml:space="preserve"> 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ab/>
      </w:r>
      <w:r>
        <w:rPr>
          <w:b/>
          <w:bCs/>
        </w:rPr>
        <w:t xml:space="preserve">§18c: </w:t>
      </w:r>
      <w:r>
        <w:rPr>
          <w:b w:val="false"/>
          <w:bCs w:val="false"/>
        </w:rPr>
        <w:t xml:space="preserve"> Som särskillda skäl vid prövningen av en fråga om upphävande eller dispens från strandskyddet får man beakta endast om det område som avses 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>1. Redan har tagits i anspråk på ett sätt som gör att det saknar betydelse för strandskyddets syften</w:t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</w:rPr>
        <w:tab/>
        <w:t>(</w:t>
      </w:r>
      <w:r>
        <w:rPr>
          <w:b w:val="false"/>
          <w:bCs w:val="false"/>
        </w:rPr>
        <w:t>E</w:t>
      </w:r>
      <w:r>
        <w:rPr>
          <w:b w:val="false"/>
          <w:bCs w:val="false"/>
        </w:rPr>
        <w:t>nl.</w:t>
      </w:r>
      <w:r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MÖD 2011:19) anses inte </w:t>
      </w:r>
      <w:r>
        <w:rPr>
          <w:b w:val="false"/>
          <w:bCs w:val="false"/>
        </w:rPr>
        <w:t xml:space="preserve">enstka </w:t>
      </w:r>
      <w:r>
        <w:rPr>
          <w:b w:val="false"/>
          <w:bCs w:val="false"/>
        </w:rPr>
        <w:t xml:space="preserve">bebyggelse på grannfastighet medföra att marken anses tagen i anspråk. </w:t>
      </w:r>
      <w:r>
        <w:rPr>
          <w:b w:val="false"/>
          <w:bCs w:val="false"/>
        </w:rPr>
        <w:t>Det ska ha förlorat strandskyddets syften. Vilket kan ses som uppfyllt i detta fallet!</w:t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</w:rPr>
        <w:t>(</w:t>
      </w:r>
      <w:r>
        <w:rPr>
          <w:b w:val="false"/>
          <w:bCs w:val="false"/>
        </w:rPr>
        <w:t xml:space="preserve">2. Genom … bebyggelse … väl avskillt från området närmast strandlinjen. </w:t>
      </w:r>
      <w:r>
        <w:rPr>
          <w:b w:val="false"/>
          <w:bCs w:val="false"/>
        </w:rPr>
        <w:t>(Måste betraktas som avskiljande exploatering (MÖB 2011:40).</w:t>
      </w:r>
      <w:r>
        <w:rPr>
          <w:b w:val="false"/>
          <w:bCs w:val="false"/>
        </w:rPr>
        <w:t>)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 xml:space="preserve">Bedömning av §25 (samt §26) inskränkning av den enskildes rätt men går längre än syftet med strandskyddet. 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 xml:space="preserve">c) </w:t>
      </w:r>
      <w:r>
        <w:rPr>
          <w:b w:val="false"/>
          <w:bCs w:val="false"/>
        </w:rPr>
        <w:t xml:space="preserve">Området har utpekats som lämpligt för landsbygdsutveckling i strandnära lägen (LIS) 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 xml:space="preserve">Översiktsplanen </w:t>
      </w:r>
      <w:r>
        <w:rPr>
          <w:b w:val="false"/>
          <w:bCs w:val="false"/>
        </w:rPr>
        <w:t xml:space="preserve">anger inriktning men är ej bindande (PBL 3kap §3) 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ab/>
        <w:t>MB 7 kap Skydd av områden: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ab/>
        <w:tab/>
        <w:t>§13. Strandskydd gäller vid havet och vid insjöar och vattendrag.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ab/>
        <w:tab/>
        <w:t>§14. Omfattar land och vattenområden 100m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ab/>
        <w:tab/>
        <w:t>§15. Inom strandskyddsområdet får inte nya byggnader uppföras.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>→</w:t>
      </w:r>
      <w:r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Strandskydd gäller och nya byggnader får ej uppföras. 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>Men §</w:t>
      </w:r>
      <w:r>
        <w:rPr>
          <w:b/>
          <w:bCs/>
        </w:rPr>
        <w:t>18</w:t>
      </w:r>
      <w:r>
        <w:rPr>
          <w:b/>
          <w:bCs/>
        </w:rPr>
        <w:t>b</w:t>
      </w:r>
      <w:r>
        <w:rPr>
          <w:b/>
          <w:bCs/>
        </w:rPr>
        <w:t xml:space="preserve"> </w:t>
      </w:r>
      <w:r>
        <w:rPr>
          <w:b/>
          <w:bCs/>
        </w:rPr>
        <w:t>ger att</w:t>
      </w:r>
      <w:r>
        <w:rPr>
          <w:b/>
          <w:bCs/>
        </w:rPr>
        <w:t xml:space="preserve"> kommunen får ge dispens om det finns särskilda skäl.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 xml:space="preserve">§ 18c ej tillämplig men 2st </w:t>
      </w:r>
      <w:r>
        <w:rPr>
          <w:b w:val="false"/>
          <w:bCs w:val="false"/>
        </w:rPr>
        <w:t>hänvisar till §18 om LIS-område enl 18 e.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 xml:space="preserve">§18e tillämpningen av 18d. (som ger tillåtelse till dispens vid LIS) 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>1. uppfylls enl kommunens beslut.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>2. Tveksamt. Strandskyddets syfte begränsas.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>3. I annat fall uppfylls 3a.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 xml:space="preserve">18d Särskilt skäl vid bidragande av utvecklingen </w:t>
      </w:r>
      <w:r>
        <w:rPr>
          <w:b w:val="false"/>
          <w:bCs w:val="false"/>
        </w:rPr>
        <w:t>Är tveksam ty en av två livsmedelsaffärer.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>18f. Uppfylls inte heller ty området säkerställer fri passage för allmänheten till strandkanten.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 xml:space="preserve">KOLLA även §25 oh §26. </w:t>
      </w:r>
      <w:r>
        <w:rPr>
          <w:b w:val="false"/>
          <w:bCs w:val="false"/>
        </w:rPr>
        <w:t>INTRESSEAVVÄGNING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>Uppgift 4: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 xml:space="preserve">Yrkande om att upphäva Skellefteå kommuns beslut att anta detaljplan för kv. Grunnan. </w:t>
      </w:r>
      <w:r>
        <w:rPr>
          <w:b w:val="false"/>
          <w:bCs w:val="false"/>
        </w:rPr>
        <w:t xml:space="preserve">I vilket strandskyddet upphävs. 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>Skellefteå kommun bestr</w:t>
      </w:r>
      <w:r>
        <w:rPr>
          <w:b w:val="false"/>
          <w:bCs w:val="false"/>
        </w:rPr>
        <w:t>id</w:t>
      </w:r>
      <w:r>
        <w:rPr>
          <w:b w:val="false"/>
          <w:bCs w:val="false"/>
        </w:rPr>
        <w:t>er ändring av mark-och miljödomstolens dom.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>7 kap 8c  §1st är ej tillämplig om endast delar av strandskyddet är i anspråkstaget.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>Grusad gång och cykelväg kan enl yrkandet inte avskilja området från stranden. Enl 7 kap 8 c§ är vägens storlek för smal.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>Kan ej motiveras med tätortsutveckling (allmänt syfte då det gäller ett fåtal lyxiga bostäder.) Botar ej heller bostadsbrist.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>Kommunen anför å sin sida: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>Menar att området redan är ianspråktaget för bostadsbebyggelse. Dels tack vara gångcykelvägen.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>MÖD: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>Menar att marken inte kan ses ianspråktagen.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 xml:space="preserve">Gång- cykelvägen och slänten har varken var för sig eller tillsammans avskiljande effekt enl 7   kap 18c§ 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 xml:space="preserve">Ej heller (ovan) 1 st 4 då bostadsbyggnad ej kan ses som </w:t>
      </w:r>
      <w:r>
        <w:rPr>
          <w:b/>
          <w:bCs/>
          <w:u w:val="single"/>
        </w:rPr>
        <w:t>verksamhet</w:t>
      </w:r>
    </w:p>
    <w:p>
      <w:pPr>
        <w:pStyle w:val="TextBody"/>
        <w:rPr>
          <w:b/>
          <w:b/>
          <w:bCs/>
        </w:rPr>
      </w:pPr>
      <w:r>
        <w:rPr>
          <w:b/>
          <w:bCs/>
          <w:u w:val="none"/>
        </w:rPr>
        <w:t>Bostadsbyggande kan inte generellt anses vara angeläget allmänt intresse</w:t>
      </w:r>
    </w:p>
    <w:p>
      <w:pPr>
        <w:pStyle w:val="TextBody"/>
        <w:rPr>
          <w:b/>
          <w:b/>
          <w:bCs/>
        </w:rPr>
      </w:pPr>
      <w:r>
        <w:rPr>
          <w:b/>
          <w:bCs/>
          <w:u w:val="none"/>
        </w:rPr>
        <w:t xml:space="preserve">→ </w:t>
      </w:r>
      <w:r>
        <w:rPr>
          <w:b/>
          <w:bCs/>
          <w:u w:val="none"/>
        </w:rPr>
        <w:t>Planen strider mot strandskyddsbestämmelserna. Och ska upphävas i sin helhet.</w:t>
      </w:r>
    </w:p>
    <w:p>
      <w:pPr>
        <w:pStyle w:val="Heading2"/>
        <w:numPr>
          <w:ilvl w:val="1"/>
          <w:numId w:val="1"/>
        </w:numPr>
        <w:ind w:left="0" w:right="0" w:hanging="0"/>
        <w:rPr/>
      </w:pPr>
      <w:r>
        <w:rPr/>
        <w:t>Del III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>Uppgift 5</w:t>
      </w:r>
    </w:p>
    <w:p>
      <w:pPr>
        <w:pStyle w:val="TextBody"/>
        <w:rPr>
          <w:b w:val="false"/>
          <w:b w:val="false"/>
          <w:bCs w:val="false"/>
          <w:i/>
          <w:i/>
          <w:iCs/>
        </w:rPr>
      </w:pPr>
      <w:r>
        <w:rPr>
          <w:b w:val="false"/>
          <w:bCs w:val="false"/>
          <w:i/>
          <w:iCs/>
        </w:rPr>
        <w:t xml:space="preserve">verksamhet </w:t>
      </w:r>
      <w:r>
        <w:rPr>
          <w:b w:val="false"/>
          <w:bCs w:val="false"/>
          <w:i w:val="false"/>
          <w:iCs w:val="false"/>
        </w:rPr>
        <w:t>får i v</w:t>
      </w:r>
      <w:r>
        <w:rPr>
          <w:b w:val="false"/>
          <w:bCs w:val="false"/>
          <w:i w:val="false"/>
          <w:iCs w:val="false"/>
        </w:rPr>
        <w:t>ä</w:t>
      </w:r>
      <w:r>
        <w:rPr>
          <w:b w:val="false"/>
          <w:bCs w:val="false"/>
          <w:i w:val="false"/>
          <w:iCs w:val="false"/>
        </w:rPr>
        <w:t>s</w:t>
      </w:r>
      <w:r>
        <w:rPr>
          <w:b w:val="false"/>
          <w:bCs w:val="false"/>
          <w:i w:val="false"/>
          <w:iCs w:val="false"/>
        </w:rPr>
        <w:t>en</w:t>
      </w:r>
      <w:r>
        <w:rPr>
          <w:b w:val="false"/>
          <w:bCs w:val="false"/>
          <w:i w:val="false"/>
          <w:iCs w:val="false"/>
        </w:rPr>
        <w:t xml:space="preserve">tlighet tolkas som miljöfarlig verksamhet i 9 kap. 1§. </w:t>
      </w:r>
    </w:p>
    <w:p>
      <w:pPr>
        <w:pStyle w:val="TextBody"/>
        <w:rPr>
          <w:b w:val="false"/>
          <w:b w:val="false"/>
          <w:bCs w:val="false"/>
          <w:i/>
          <w:i/>
          <w:iCs/>
        </w:rPr>
      </w:pPr>
      <w:r>
        <w:rPr>
          <w:b w:val="false"/>
          <w:bCs w:val="false"/>
          <w:i w:val="false"/>
          <w:iCs w:val="false"/>
        </w:rPr>
        <w:t>Skad</w:t>
      </w:r>
      <w:r>
        <w:rPr>
          <w:b w:val="false"/>
          <w:bCs w:val="false"/>
          <w:i w:val="false"/>
          <w:iCs w:val="false"/>
        </w:rPr>
        <w:t>ef</w:t>
      </w:r>
      <w:r>
        <w:rPr>
          <w:b w:val="false"/>
          <w:bCs w:val="false"/>
          <w:i w:val="false"/>
          <w:iCs w:val="false"/>
        </w:rPr>
        <w:t xml:space="preserve">allet gäller i omkringliggande område (ej fastigheten där verksamheten utförs) </w:t>
      </w:r>
    </w:p>
    <w:p>
      <w:pPr>
        <w:pStyle w:val="TextBody"/>
        <w:rPr>
          <w:b/>
          <w:b/>
          <w:bCs/>
          <w:i/>
          <w:i/>
          <w:iCs/>
        </w:rPr>
      </w:pPr>
      <w:r>
        <w:rPr>
          <w:b/>
          <w:bCs/>
          <w:i w:val="false"/>
          <w:iCs w:val="false"/>
        </w:rPr>
        <w:t xml:space="preserve">Beviskraven är lindrigare. </w:t>
      </w:r>
      <w:r>
        <w:rPr>
          <w:b w:val="false"/>
          <w:bCs w:val="false"/>
          <w:i w:val="false"/>
          <w:iCs w:val="false"/>
        </w:rPr>
        <w:t xml:space="preserve">”det räcker med övervägande sannorlikhet </w:t>
      </w:r>
      <w:r>
        <w:rPr>
          <w:b/>
          <w:bCs/>
          <w:i w:val="false"/>
          <w:iCs w:val="false"/>
        </w:rPr>
        <w:t>fö  orsaksamband.</w:t>
      </w:r>
      <w:r>
        <w:rPr>
          <w:b w:val="false"/>
          <w:bCs w:val="false"/>
          <w:i w:val="false"/>
          <w:iCs w:val="false"/>
        </w:rPr>
        <w:t xml:space="preserve">” - </w:t>
      </w:r>
      <w:r>
        <w:rPr>
          <w:b/>
          <w:bCs/>
          <w:i w:val="false"/>
          <w:iCs w:val="false"/>
        </w:rPr>
        <w:t xml:space="preserve">Men kravet att det </w:t>
      </w:r>
      <w:r>
        <w:rPr>
          <w:b/>
          <w:bCs/>
          <w:i w:val="false"/>
          <w:iCs w:val="false"/>
          <w:u w:val="single"/>
        </w:rPr>
        <w:t>FÖREKOMMIT</w:t>
      </w:r>
      <w:r>
        <w:rPr>
          <w:b/>
          <w:bCs/>
          <w:i w:val="false"/>
          <w:iCs w:val="false"/>
          <w:u w:val="none"/>
        </w:rPr>
        <w:t xml:space="preserve"> störning är detsamma. </w:t>
      </w:r>
      <w:r>
        <w:rPr>
          <w:b w:val="false"/>
          <w:bCs w:val="false"/>
          <w:i w:val="false"/>
          <w:iCs w:val="false"/>
          <w:u w:val="none"/>
        </w:rPr>
        <w:t xml:space="preserve">Det är sambandet mellan störningen och påverkan på den skadelidandes fastighet som är lindrigare. (gäller ej skador genom sprängsten och liknande) </w:t>
      </w:r>
    </w:p>
    <w:p>
      <w:pPr>
        <w:pStyle w:val="TextBody"/>
        <w:rPr>
          <w:b/>
          <w:b/>
          <w:bCs/>
          <w:i/>
          <w:i/>
          <w:iCs/>
        </w:rPr>
      </w:pPr>
      <w:r>
        <w:rPr>
          <w:b/>
          <w:bCs/>
          <w:i w:val="false"/>
          <w:iCs w:val="false"/>
          <w:u w:val="none"/>
        </w:rPr>
        <w:t xml:space="preserve">Skadan måste inte ha orsakats medvetet eller oaktsamts enl MB32:1 3st. </w:t>
      </w:r>
    </w:p>
    <w:p>
      <w:pPr>
        <w:pStyle w:val="TextBody"/>
        <w:rPr>
          <w:b w:val="false"/>
          <w:b w:val="false"/>
          <w:bCs w:val="false"/>
          <w:i w:val="false"/>
          <w:i w:val="false"/>
          <w:iCs w:val="false"/>
          <w:u w:val="none"/>
        </w:rPr>
      </w:pPr>
      <w:r>
        <w:rPr>
          <w:b w:val="false"/>
          <w:bCs w:val="false"/>
          <w:i w:val="false"/>
          <w:iCs w:val="false"/>
          <w:u w:val="none"/>
        </w:rPr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>Uppgift 6  ”</w:t>
      </w:r>
      <w:r>
        <w:rPr>
          <w:b/>
          <w:bCs/>
        </w:rPr>
        <w:t>förorenaren betalar”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 xml:space="preserve">MB 32:1 MB 32:1 </w:t>
      </w:r>
      <w:r>
        <w:rPr>
          <w:b w:val="false"/>
          <w:bCs w:val="false"/>
        </w:rPr>
        <w:t xml:space="preserve">verksamhet (enl prop 1985/86:83 s.159 så räknas även tillfällig verksamhet) 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 xml:space="preserve">MB 32:3 pt 7 omtalar skakning samt ML 1§ 1st 1p </w:t>
      </w:r>
      <w:r>
        <w:rPr>
          <w:b/>
          <w:bCs/>
        </w:rPr>
        <w:t>(Miljöskadelagen infördes utan saklig ändring i MB och kan likställas med MB när det gäller syfte (prop 1997:98/45)</w:t>
      </w:r>
    </w:p>
    <w:p>
      <w:pPr>
        <w:pStyle w:val="TextBody"/>
        <w:rPr/>
      </w:pPr>
      <w:r>
        <w:rPr>
          <w:b/>
          <w:bCs/>
        </w:rPr>
        <w:t xml:space="preserve"> </w:t>
      </w:r>
      <w:r>
        <w:rPr>
          <w:b/>
          <w:bCs/>
        </w:rPr>
        <w:t xml:space="preserve">Undantag från huvudregeln: </w:t>
      </w:r>
      <w:r>
        <w:rPr/>
        <w:t xml:space="preserve">I 32 kap. 1 § 3 stycket MB stadgas därför att: </w:t>
      </w:r>
      <w:r>
        <w:rPr/>
        <w:t xml:space="preserve">(...allmäna förekonst på orten,..) Regeln (undantaget) kan ses som en toleransgräns. Skadan ersätts endast om den överstiger toleransgränsen. (enl. </w:t>
      </w:r>
      <w:r>
        <w:rPr/>
        <w:t>7 Prop. 1985/86:83, s. 16</w:t>
      </w:r>
      <w:r>
        <w:rPr/>
        <w:t xml:space="preserve">) 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 xml:space="preserve">Orts och allmänvanliga störningar (ej ordalikt i MB) </w:t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ab/>
      </w:r>
      <w:r>
        <w:rPr>
          <w:b w:val="false"/>
          <w:bCs w:val="false"/>
        </w:rPr>
        <w:t>Strikt ansvar för miljöskador skall normalt inte gälla för skador som orsakas genom orts eller allmänvanliga störningar. ”toleransgräns”</w:t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>
          <w:b/>
          <w:b/>
          <w:bCs/>
        </w:rPr>
      </w:pPr>
      <w:r>
        <w:rPr>
          <w:b/>
          <w:bCs/>
        </w:rPr>
        <w:t xml:space="preserve">NJA1975 s155 </w:t>
      </w:r>
      <w:r>
        <w:rPr>
          <w:b w:val="false"/>
          <w:bCs w:val="false"/>
        </w:rPr>
        <w:t xml:space="preserve">vid sprängning. Dömdes kommunen att betala skadestång vid sprickbildning på putsad fasad. 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</w:rPr>
        <w:t xml:space="preserve">Så berättig till skadestånd enl 32 kap 1§ och §3 </w:t>
      </w:r>
      <w:r>
        <w:rPr>
          <w:b w:val="false"/>
          <w:bCs w:val="false"/>
        </w:rPr>
        <w:t xml:space="preserve">pt 7 (och 8) </w:t>
      </w:r>
      <w:r>
        <w:rPr>
          <w:b w:val="false"/>
          <w:bCs w:val="false"/>
        </w:rPr>
        <w:t>MB då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>1. Sprängningsverksamhet har bedrivits som orsakat skador i den fastighetens omgivning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>2. Sprängningen inte utgör en störning som enl 3st 1§  32 kap faller under toleransgräns…</w:t>
      </w:r>
    </w:p>
    <w:p>
      <w:pPr>
        <w:pStyle w:val="TextBody"/>
        <w:rPr>
          <w:b/>
          <w:b/>
          <w:bCs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>vilket de kanske gör?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>3. skador uppstått på grund av skakningen samt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  <w:t>4. det är övervägande sanorlikt att skadorna uppkommit till följd av sprängningarna.</w:t>
      </w:r>
    </w:p>
    <w:p>
      <w:pPr>
        <w:pStyle w:val="TextBody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TextBody"/>
        <w:spacing w:before="0" w:after="140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kg-icons">
    <w:altName w:val="Roboto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sv-SE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oto Sans CJK SC Regular" w:cs="FreeSans"/>
      <w:color w:val="auto"/>
      <w:sz w:val="24"/>
      <w:szCs w:val="24"/>
      <w:lang w:val="sv-SE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1"/>
      </w:numPr>
      <w:spacing w:before="240" w:after="120"/>
      <w:ind w:left="0" w:right="0" w:hanging="0"/>
      <w:outlineLvl w:val="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TextBody"/>
    <w:qFormat/>
    <w:pPr>
      <w:numPr>
        <w:ilvl w:val="1"/>
        <w:numId w:val="1"/>
      </w:numPr>
      <w:spacing w:before="200" w:after="120"/>
      <w:ind w:left="0" w:right="0" w:hanging="0"/>
      <w:outlineLvl w:val="1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TextBody"/>
    <w:qFormat/>
    <w:pPr>
      <w:numPr>
        <w:ilvl w:val="2"/>
        <w:numId w:val="1"/>
      </w:numPr>
      <w:spacing w:before="140" w:after="120"/>
      <w:ind w:left="0" w:right="0" w:hanging="0"/>
      <w:outlineLvl w:val="2"/>
      <w:outlineLvl w:val="2"/>
    </w:pPr>
    <w:rPr>
      <w:b/>
      <w:bCs/>
      <w:sz w:val="28"/>
      <w:szCs w:val="28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pro-karnovgroup-se.proxy.ub.umu.se/document/abs/SFS1998-0808_K6_P7_S2?src=document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2300</TotalTime>
  <Application>LibreOffice/5.1.6.2$Linux_X86_64 LibreOffice_project/10m0$Build-2</Application>
  <Pages>6</Pages>
  <Words>1335</Words>
  <Characters>7559</Characters>
  <CharactersWithSpaces>8869</CharactersWithSpaces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2018-04-18T08:51:32Z</dcterms:created>
  <dc:creator/>
  <dc:description/>
  <dc:language>en-US</dc:language>
  <cp:lastModifiedBy/>
  <dcterms:modified xsi:type="dcterms:W3CDTF">2018-04-23T08:52:27Z</dcterms:modified>
  <cp:revision>8</cp:revision>
  <dc:subject/>
  <dc:title/>
</cp:coreProperties>
</file>